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Shipment prohibited</w:t>
      </w:r>
    </w:p>
    <w:p>
      <w:pPr>
        <w:jc w:val="both"/>
        <w:spacing w:before="100" w:after="100"/>
        <w:ind w:start="360"/>
        <w:ind w:firstLine="360"/>
      </w:pPr>
      <w:r>
        <w:rPr/>
      </w:r>
      <w:r>
        <w:rPr/>
      </w:r>
      <w:r>
        <w:t xml:space="preserve">The director may prohibit, prevent or regulate the entry into or movement within the State of any plants of the genus Ribes or other nursery or wilding plants, stock or parts of plants or wood or wood products that may cause the introduction or spread of a dangerous forest insect or disease. The director may issue orders, permits and notices necessary to carry out this section. Orders, permits and notices issued under this section do not require or constitute an adjudicatory proceeding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§8305. Shipment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Shipment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§8305. SHIPMENT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