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Posting and publishing</w:t>
      </w:r>
    </w:p>
    <w:p>
      <w:pPr>
        <w:jc w:val="both"/>
        <w:spacing w:before="100" w:after="100"/>
        <w:ind w:start="360"/>
        <w:ind w:firstLine="360"/>
      </w:pPr>
      <w:r>
        <w:rPr/>
      </w:r>
      <w:r>
        <w:rPr/>
      </w:r>
      <w:r>
        <w:t xml:space="preserve">The proclamation must be published in such newspapers of the State and posted in such places as the Governor considers necessary and a copy of that proclamation  must be filed with the Secretary of State.  A copy must be furnished to the director, who shall attend to the posting and publication of the proclamation.  The expense of posting and publication and the expense of enforcing the proclamation are paid by the director, after allowance by the State Controller, from the appropriation for general forestry purposes.</w:t>
      </w:r>
      <w:r>
        <w:t xml:space="preserve">  </w:t>
      </w:r>
      <w:r xmlns:wp="http://schemas.openxmlformats.org/drawingml/2010/wordprocessingDrawing" xmlns:w15="http://schemas.microsoft.com/office/word/2012/wordml">
        <w:rPr>
          <w:rFonts w:ascii="Arial" w:hAnsi="Arial" w:cs="Arial"/>
          <w:sz w:val="22"/>
          <w:szCs w:val="22"/>
        </w:rPr>
        <w:t xml:space="preserve">[PL 1995, c. 586,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§9002. Posting and publishing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Posting and publishing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§9002. POSTING AND PUBLISHING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