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§9322. Permits in the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§9322. Permits in the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§9322. PERMITS IN THE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