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Penalties not substitutes for existing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§9704. PENALTIES NOT SUBSTITUTES FOR EXISTING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