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§1118. Late reinstatement of nonprofit corporation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Late reinstatement of nonprofit corporation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§1118. LATE REINSTATEMENT OF NONPROFIT CORPORATION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