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Articles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Articles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§1404. ARTICLES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