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Incorporation</w:t>
      </w:r>
    </w:p>
    <w:p>
      <w:pPr>
        <w:jc w:val="both"/>
        <w:spacing w:before="100" w:after="0"/>
        <w:ind w:start="360"/>
        <w:ind w:firstLine="360"/>
      </w:pPr>
      <w:r>
        <w:rPr>
          <w:b/>
        </w:rPr>
        <w:t>1</w:t>
        <w:t xml:space="preserve">.  </w:t>
      </w:r>
      <w:r>
        <w:rPr>
          <w:b/>
        </w:rPr>
        <w:t xml:space="preserve">Beginning of corporate existence.</w:t>
        <w:t xml:space="preserve"> </w:t>
      </w:r>
      <w:r>
        <w:t xml:space="preserve"> </w:t>
      </w:r>
      <w:r>
        <w:t xml:space="preserve">Unless a later effective date is specified, the corporate existence of a corporation begins when its articles of incorporation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constitutes proof of satisfaction of conditions.</w:t>
        <w:t xml:space="preserve"> </w:t>
      </w:r>
      <w:r>
        <w:t xml:space="preserve"> </w:t>
      </w:r>
      <w:r>
        <w:t xml:space="preserve">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§203.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