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deliver to the Secretary of State for filing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§48 (AMD).]</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The corporate name is registered for the foreign corporation's exclusive use upon the effective date of the application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it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subject to this Act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§§B48,49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Registered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Registered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§403. REGISTERED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