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Improper conditions; removal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§1347. IMPROPER CONDITIONS; REMOVAL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