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Application of provisions to voting by delegates</w:t>
      </w:r>
    </w:p>
    <w:p>
      <w:pPr>
        <w:jc w:val="both"/>
        <w:spacing w:before="100" w:after="100"/>
        <w:ind w:start="360"/>
        <w:ind w:firstLine="360"/>
      </w:pPr>
      <w:r>
        <w:rPr/>
      </w:r>
      <w:r>
        <w:rPr/>
      </w:r>
      <w:r>
        <w:t xml:space="preserve">If an association has provided for voting by delegates, any provision of this subchapter referring to votes cast by the members shall apply to votes cast by delegates; but this shall not permit delegates to vote by mail.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Application of provisions to voting by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Application of provisions to voting by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§1603. APPLICATION OF PROVISIONS TO VOTING BY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