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 Eligibility and admission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Eligibility and admission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§1641. ELIGIBILITY AND ADMISSION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