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or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§4 (AMD).]</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Limited equity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Limited equity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§1754. LIMITED EQUITY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