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Dissolution</w:t>
      </w:r>
    </w:p>
    <w:p>
      <w:pPr>
        <w:jc w:val="both"/>
        <w:spacing w:before="100" w:after="100"/>
        <w:ind w:start="360"/>
        <w:ind w:firstLine="360"/>
      </w:pPr>
      <w:r>
        <w:rPr/>
      </w:r>
      <w:r>
        <w:rPr/>
      </w:r>
      <w:r>
        <w:t xml:space="preserve">By vote of at least 80% of its members or any larger percentage specified in the articles of incorporation or bylaws, a cooperative affordable housing corporation may vote to dissolve and terminate its proprietary leases. In addition, a cooperative affordable housing corporation must file articles of dissolution and pay the fee for dissolution as required for business corporations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PL 2007,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§1758.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§1758.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