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§1777. Foreign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§1777. Foreign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§1777. FOREIGN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