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1873</w:t>
        <w:t xml:space="preserve">.  </w:t>
      </w:r>
      <w:r>
        <w:rPr>
          <w:b/>
        </w:rPr>
        <w:t xml:space="preserve">Officers</w:t>
      </w:r>
    </w:p>
    <w:p>
      <w:pPr>
        <w:jc w:val="both"/>
        <w:spacing w:before="100" w:after="100"/>
        <w:ind w:start="360"/>
        <w:ind w:firstLine="360"/>
      </w:pPr>
      <w:r>
        <w:rPr/>
      </w:r>
      <w:r>
        <w:rPr/>
      </w:r>
      <w:r>
        <w:t xml:space="preserve">The board shall elect one or more officers as authorized in the bylaws.  The bylaws of each cooperative must provide for one or more officers, including the qualifications for and the titles of those officers.</w:t>
      </w:r>
      <w:r>
        <w:t xml:space="preserve">  </w:t>
      </w:r>
      <w:r xmlns:wp="http://schemas.openxmlformats.org/drawingml/2010/wordprocessingDrawing" xmlns:w15="http://schemas.microsoft.com/office/word/2012/wordml">
        <w:rPr>
          <w:rFonts w:ascii="Arial" w:hAnsi="Arial" w:cs="Arial"/>
          <w:sz w:val="22"/>
          <w:szCs w:val="22"/>
        </w:rPr>
        <w:t xml:space="preserve">[PL 1999, c. 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§1873.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§1873.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§1873.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