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Unfair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§1965. UNFAIR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