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Compensation</w:t>
      </w:r>
    </w:p>
    <w:p>
      <w:pPr>
        <w:jc w:val="both"/>
        <w:spacing w:before="100" w:after="100"/>
        <w:ind w:start="360"/>
        <w:ind w:firstLine="360"/>
      </w:pPr>
      <w:r>
        <w:rPr/>
      </w:r>
      <w:r>
        <w:rPr/>
      </w:r>
      <w:r>
        <w:t xml:space="preserve">An association may provide a fair remuneration for the time actually spent by its officers and directors in its service and for the service of the members of its executive committee.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§2105.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