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§2191. PAYMENT; COMMON; OWNERSHIP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