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2194</w:t>
        <w:t xml:space="preserve">.  </w:t>
      </w:r>
      <w:r>
        <w:rPr>
          <w:b/>
        </w:rPr>
        <w:t xml:space="preserve">Purchase by association</w:t>
      </w:r>
    </w:p>
    <w:p>
      <w:pPr>
        <w:jc w:val="both"/>
        <w:spacing w:before="100" w:after="100"/>
        <w:ind w:start="360"/>
        <w:ind w:firstLine="360"/>
      </w:pPr>
      <w:r>
        <w:rPr/>
      </w:r>
      <w:r>
        <w:rPr/>
      </w:r>
      <w:r>
        <w:t xml:space="preserve">An association may, at any time, as specified in the bylaws, except when the debts of the association exceed 50% of its assets, buy in or purchase its common stock at the book value thereof, as conclusively determined by the board of directors and pay for it in cash within one year thereafter.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§2194. Purchase by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§2194. Purchase by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§2194. PURCHASE BY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