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Certificate of existence;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may apply to the Secretary of State for a certificate of existence for a corporation formed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B</w:t>
        <w:t xml:space="preserve">.  </w:t>
      </w:r>
      <w:r>
        <w:rPr/>
      </w:r>
      <w:r>
        <w:t xml:space="preserve">That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C</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D</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3</w:t>
        <w:t xml:space="preserve">.  </w:t>
      </w:r>
      <w:r>
        <w:rPr>
          <w:b/>
        </w:rPr>
        <w:t xml:space="preserve">Evidence of existence.</w:t>
        <w:t xml:space="preserve"> </w:t>
      </w:r>
      <w:r>
        <w:t xml:space="preserve"> </w:t>
      </w:r>
      <w:r>
        <w:t xml:space="preserve">Subject to any qualification stated in the certificate, a certificate of existence issued by the Secretary of State may be relied upon as conclusive evidence that the corporation is in existence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of existence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 Certificate of existence;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Certificate of existence;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§909. CERTIFICATE OF EXISTENCE;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