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Frequency and length of service by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Frequency and length of service by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§1216. FREQUENCY AND LENGTH OF SERVICE BY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