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Cost of replacement motor vehicles</w:t>
      </w:r>
    </w:p>
    <w:p>
      <w:pPr>
        <w:jc w:val="both"/>
        <w:spacing w:before="100" w:after="100"/>
        <w:ind w:start="360"/>
        <w:ind w:firstLine="360"/>
      </w:pPr>
      <w:r>
        <w:rPr/>
      </w:r>
      <w:r>
        <w:rPr/>
      </w:r>
      <w:r>
        <w:t xml:space="preserve">In any action where recovery is sought for the destruction or damage of a motor vehicle, the owner of such motor vehicle shall be entitled to recover reasonable rental costs actually expended for a replacement motor vehicle during such time, not to exceed 45 days, as the damaged motor vehicle could not be operated or during such time, not to exceed 45 days, as is required to obtain a replacement motor vehicle for the destroyed motor vehicle.</w:t>
      </w:r>
      <w:r>
        <w:t xml:space="preserve">  </w:t>
      </w:r>
      <w:r xmlns:wp="http://schemas.openxmlformats.org/drawingml/2010/wordprocessingDrawing" xmlns:w15="http://schemas.microsoft.com/office/word/2012/wordml">
        <w:rPr>
          <w:rFonts w:ascii="Arial" w:hAnsi="Arial" w:cs="Arial"/>
          <w:sz w:val="22"/>
          <w:szCs w:val="22"/>
        </w:rPr>
        <w:t xml:space="preserve">[PL 1989, c. 623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263 (NEW). PL 1989, c. 623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 Cost of replacement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Cost of replacement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§1454. COST OF REPLACEMENT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