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Petitions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Petitions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§1509. PETITIONS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