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Creditor or debtor may act by representative</w:t>
      </w:r>
    </w:p>
    <w:p>
      <w:pPr>
        <w:jc w:val="both"/>
        <w:spacing w:before="100" w:after="100"/>
        <w:ind w:start="360"/>
        <w:ind w:firstLine="360"/>
      </w:pPr>
      <w:r>
        <w:rPr/>
      </w:r>
      <w:r>
        <w:rPr/>
      </w:r>
      <w:r>
        <w:t xml:space="preserve">Everything which a creditor or debtor is required in this chapter to do may be done by his executors or administrators, or by any person lawfully claiming under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§1952. Creditor or debtor may act by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Creditor or debtor may act by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§1952. CREDITOR OR DEBTOR MAY ACT BY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