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2004</w:t>
        <w:t xml:space="preserve">.  </w:t>
      </w:r>
      <w:r>
        <w:rPr>
          <w:b/>
        </w:rPr>
        <w:t xml:space="preserve">Appraisal when several parcels taken</w:t>
      </w:r>
    </w:p>
    <w:p>
      <w:pPr>
        <w:jc w:val="both"/>
        <w:spacing w:before="100" w:after="100"/>
        <w:ind w:start="360"/>
        <w:ind w:firstLine="360"/>
      </w:pPr>
      <w:r>
        <w:rPr/>
      </w:r>
      <w:r>
        <w:rPr/>
      </w:r>
      <w:r>
        <w:t xml:space="preserve">When several parcels of land are taken, they may be appraised separately or together. When taken at different times, there may be different sets of appraisers. A levy is valid when the return is signed by 2 of the appraisers, the other appearing to have been sworn and to have acted.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§2004. Appraisal when several parcels taken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§2004. Appraisal when several parcels taken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§2004. APPRAISAL WHEN SEVERAL PARCELS TAKEN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