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2019</w:t>
        <w:t xml:space="preserve">.  </w:t>
      </w:r>
      <w:r>
        <w:rPr>
          <w:b/>
        </w:rPr>
        <w:t xml:space="preserve">Failure of title, alias execution; debtor may convey by deed</w:t>
      </w:r>
    </w:p>
    <w:p>
      <w:pPr>
        <w:jc w:val="both"/>
        <w:spacing w:before="100" w:after="100"/>
        <w:ind w:start="360"/>
        <w:ind w:firstLine="360"/>
      </w:pPr>
      <w:r>
        <w:rPr/>
      </w:r>
      <w:r>
        <w:rPr/>
      </w:r>
      <w:r>
        <w:t xml:space="preserve">When the execution has been recorded and the estate levied on does not pass by the levy for causes named in </w:t>
      </w:r>
      <w:r>
        <w:t>section 2018</w:t>
      </w:r>
      <w:r>
        <w:t xml:space="preserve">, the creditor may by motion in the court issuing the execution require the debtor to show cause why an alias execution should not be issued on the same judgment. If the debtor does not show sufficient cause, the levy may be set aside, and an alias execution issued for the amount then due on the judgment, unless during its pendency the debtor tenders in court a deed of release of the land levied on, and makes it appear that the land, at the time of the levy, was and still is his property, and pays the expenses of the levy and the taxable costs of the action. The judgment shall be satisfied for the amount of the levy.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§2019. Failure of title, alias execution; debtor may convey by deed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§2019. Failure of title, alias execution; debtor may convey by deed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§2019. FAILURE OF TITLE, ALIAS EXECUTION; DEBTOR MAY CONVEY BY DEED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