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2207</w:t>
        <w:t xml:space="preserve">.  </w:t>
      </w:r>
      <w:r>
        <w:rPr>
          <w:b/>
        </w:rPr>
        <w:t xml:space="preserve">Seizure considered made; proceedings after return day valid.</w:t>
      </w:r>
    </w:p>
    <w:p>
      <w:pPr>
        <w:jc w:val="both"/>
        <w:spacing w:before="100" w:after="100"/>
        <w:ind w:start="360"/>
        <w:ind w:firstLine="360"/>
      </w:pPr>
      <w:r>
        <w:rPr/>
      </w:r>
      <w:r>
        <w:rPr/>
      </w:r>
      <w:r>
        <w:t xml:space="preserve">The seizure on execution is considered made on the day when notice of the sale is given, and if the sale is not completed within 60 days after judgment it holds the right or interest seized within that time. The subsequent proceedings and return are valid, if made after the return day of the execution or after removal or disability of the officer.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§2207. Seizure considered made; proceedings after return day valid.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§2207. Seizure considered made; proceedings after return day valid.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§2207. SEIZURE CONSIDERED MADE; PROCEEDINGS AFTER RETURN DAY VALID.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