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2209</w:t>
        <w:t xml:space="preserve">.  </w:t>
      </w:r>
      <w:r>
        <w:rPr>
          <w:b/>
        </w:rPr>
        <w:t xml:space="preserve">Transfer after notice of seizure invalid</w:t>
      </w:r>
    </w:p>
    <w:p>
      <w:pPr>
        <w:jc w:val="both"/>
        <w:spacing w:before="100" w:after="100"/>
        <w:ind w:start="360"/>
        <w:ind w:firstLine="360"/>
      </w:pPr>
      <w:r>
        <w:rPr/>
      </w:r>
      <w:r>
        <w:rPr/>
      </w:r>
      <w:r>
        <w:t xml:space="preserve">No transfer of such mortgage or of the debt secured thereby, made by such corporation after notice of the seizure thereof on execution has been filed in the registry of deeds of the county or district where the land lies, or given to the party to be affected thereby, has any validity against the purchaser at such sale.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§2209. Transfer after notice of seizure invalid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§2209. Transfer after notice of seizure invalid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§2209. TRANSFER AFTER NOTICE OF SEIZURE INVALID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