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3126</w:t>
        <w:t xml:space="preserve">.  </w:t>
      </w:r>
      <w:r>
        <w:rPr>
          <w:b/>
        </w:rPr>
        <w:t xml:space="preserve">Fees and costs</w:t>
      </w:r>
    </w:p>
    <w:p>
      <w:pPr>
        <w:jc w:val="both"/>
        <w:spacing w:before="100" w:after="100"/>
        <w:ind w:start="360"/>
        <w:ind w:firstLine="360"/>
      </w:pPr>
      <w:r>
        <w:rPr/>
      </w:r>
      <w:r>
        <w:rPr/>
      </w:r>
      <w:r>
        <w:t xml:space="preserve">The disclosure subpoena, return of service and the writ of execution or an attested copy thereof shall be filed with the clerk, together with a filing fee as established by the Supreme Judicial Court pursuant to </w:t>
      </w:r>
      <w:r>
        <w:t>Title 4, section 175</w:t>
      </w:r>
      <w:r>
        <w:t xml:space="preserve">. The fee and actual costs of service shall be added to the judgment, unless the judgment creditor or his attorney fails to appear in accordance with </w:t>
      </w:r>
      <w:r>
        <w:t>section 3125</w:t>
      </w:r>
      <w:r>
        <w:t xml:space="preserve"> or unless the judge orders otherwise.  Costs of service incurred by the creditor, in addition to the filing fee and the service of the disclosure subpoena, may be imposed upon the judgment debtor or the 3rd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1985, c. 506, §B11 (AMD). PL 1987, c. 184,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§3126.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§3126.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§3126.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