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3574</w:t>
        <w:t xml:space="preserve">.  </w:t>
      </w:r>
      <w:r>
        <w:rPr>
          <w:b/>
        </w:rPr>
        <w:t xml:space="preserve">Value</w:t>
      </w:r>
    </w:p>
    <w:p>
      <w:pPr>
        <w:jc w:val="both"/>
        <w:spacing w:before="100" w:after="0"/>
        <w:ind w:start="360"/>
        <w:ind w:firstLine="360"/>
      </w:pPr>
      <w:r>
        <w:rPr>
          <w:b/>
        </w:rPr>
        <w:t>1</w:t>
        <w:t xml:space="preserve">.  </w:t>
      </w:r>
      <w:r>
        <w:rPr>
          <w:b/>
        </w:rPr>
        <w:t xml:space="preserve">Value defined.</w:t>
        <w:t xml:space="preserve"> </w:t>
      </w:r>
      <w:r>
        <w:t xml:space="preserve"> </w:t>
      </w:r>
      <w:r>
        <w:t xml:space="preserve">Value is given for a transfer or an obligation if in exchange for the transfer or obligation property is transferred or an antecedent debt is secured or satisfied, but value does not include an unperformed promise made otherwise than in the ordinary course of the promisor's business to furnish support to the debtor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Reasonably equivalent value; foreclosure.</w:t>
        <w:t xml:space="preserve"> </w:t>
      </w:r>
      <w:r>
        <w:t xml:space="preserve"> </w:t>
      </w:r>
      <w:r>
        <w:t xml:space="preserve">For the purposes of </w:t>
      </w:r>
      <w:r>
        <w:t>section 3575, subsection 1, paragraph B</w:t>
      </w:r>
      <w:r>
        <w:t xml:space="preserve">, and </w:t>
      </w:r>
      <w:r>
        <w:t>section 3576</w:t>
      </w:r>
      <w:r>
        <w:t xml:space="preserve">, a person gives a reasonably equivalent value if the person acquires an interest of the debtor in an asset pursuant to a regularly conducted, noncollusive foreclosure sale or execution of a power of sale for the acquisition or disposition of the interest of the debtor upon default under a mortgage, deed of trust or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Contemporaneous transfer.</w:t>
        <w:t xml:space="preserve"> </w:t>
      </w:r>
      <w:r>
        <w:t xml:space="preserve"> </w:t>
      </w:r>
      <w:r>
        <w:t xml:space="preserve">A transfer is made for present value if the exchange between the debtor and the transferee is intended by them to be contemporaneous and is in fact substantially contemporaneous.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§3574.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§3574.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§3574.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