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§4953. REMEDY OF OWNER OF PROPERTY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