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Jurisdiction by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Jurisdiction by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§504. JURISDICTION BY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