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5927</w:t>
        <w:t xml:space="preserve">.  </w:t>
      </w:r>
      <w:r>
        <w:rPr>
          <w:b/>
        </w:rPr>
        <w:t xml:space="preserve">Validity of arbitration agreement</w:t>
      </w:r>
    </w:p>
    <w:p>
      <w:pPr>
        <w:jc w:val="both"/>
        <w:spacing w:before="100" w:after="100"/>
        <w:ind w:start="360"/>
        <w:ind w:firstLine="360"/>
      </w:pPr>
      <w:r>
        <w:rPr/>
      </w:r>
      <w:r>
        <w:rPr/>
      </w:r>
      <w:r>
        <w:t xml:space="preserve">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This chapter also applies to arbitration agreements between employers and employees or between their respective representatives, unless otherwise provided in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§5927. Validity of arbitration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§5927. Validity of arbitration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§5927. VALIDITY OF ARBITRATION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