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§6326. ORDER OF ABANDONMENT FOR RESIDENTIAL PROPERTIES IN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