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6351</w:t>
        <w:t xml:space="preserve">.  </w:t>
      </w:r>
      <w:r>
        <w:rPr>
          <w:b/>
        </w:rPr>
        <w:t xml:space="preserve">Purpose -- Article I</w:t>
      </w:r>
    </w:p>
    <w:p>
      <w:pPr>
        <w:jc w:val="both"/>
        <w:spacing w:before="100" w:after="100"/>
        <w:ind w:start="360"/>
        <w:ind w:firstLine="360"/>
      </w:pPr>
      <w:r>
        <w:rPr/>
      </w:r>
      <w:r>
        <w:rPr/>
      </w:r>
      <w:r>
        <w:t xml:space="preserve">The aims of this compact are to promote comity and judicial cooperation among the states party thereto; and to relieve from undue risk and uncertainty, a person who may be subject to double or multiple liability because of the existence of adverse claimants, one or more of whom in the absence of this compact may not be subject to the jurisdiction of the adjudicating court, when such person makes all reasonable efforts to secure judicial determination and discharge of his liability.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§6351. Purpose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§6351. Purpose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§6351. PURPOSE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