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6659</w:t>
        <w:t xml:space="preserve">.  </w:t>
      </w:r>
      <w:r>
        <w:rPr>
          <w:b/>
        </w:rPr>
        <w:t xml:space="preserve">Action by abutters of discontinued road or way</w:t>
      </w:r>
    </w:p>
    <w:p>
      <w:pPr>
        <w:jc w:val="both"/>
        <w:spacing w:before="100" w:after="100"/>
        <w:ind w:start="360"/>
        <w:ind w:firstLine="360"/>
      </w:pPr>
      <w:r>
        <w:rPr/>
      </w:r>
      <w:r>
        <w:rPr/>
      </w:r>
      <w:r>
        <w:t xml:space="preserve">Any person or persons claiming an estate of freehold in a discontinued road or way, or in a portion thereof, or an interest in common and undivided therein, may maintain an action as provided in </w:t>
      </w:r>
      <w:r>
        <w:t>sections 6651</w:t>
      </w:r>
      <w:r>
        <w:t xml:space="preserve"> to </w:t>
      </w:r>
      <w:r>
        <w:t>6654</w:t>
      </w:r>
      <w:r>
        <w:t xml:space="preserve">, or as provided in </w:t>
      </w:r>
      <w:r>
        <w:t>sections 6655</w:t>
      </w:r>
      <w:r>
        <w:t xml:space="preserve"> to </w:t>
      </w:r>
      <w:r>
        <w:t>6657</w:t>
      </w:r>
      <w:r>
        <w:t xml:space="preserve"> in regard to said discontinued road or way, or portion thereof, without the need or necessity of showing 4 years of possession next prior to the filing of the complaint, provided that the claim of said person or persons to the discontinued road or way, or portion thereof, is based upon fee simple ownership of the land immediately adjoining said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§6659. Action by abutters of discontinued road or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§6659. Action by abutters of discontinued road or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§6659. ACTION BY ABUTTERS OF DISCONTINUED ROAD OR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