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§6712. Impeachment of plaintiff's title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§6712. IMPEACHMENT OF PLAINTIFF'S TITLE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