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7309</w:t>
        <w:t xml:space="preserve">.  </w:t>
      </w:r>
      <w:r>
        <w:rPr>
          <w:b/>
        </w:rPr>
        <w:t xml:space="preserve">Continuance of attachment, if goods replevied</w:t>
      </w:r>
    </w:p>
    <w:p>
      <w:pPr>
        <w:jc w:val="both"/>
        <w:spacing w:before="100" w:after="100"/>
        <w:ind w:start="360"/>
        <w:ind w:firstLine="360"/>
      </w:pPr>
      <w:r>
        <w:rPr/>
      </w:r>
      <w:r>
        <w:rPr/>
      </w:r>
      <w:r>
        <w:t xml:space="preserve">If the goods replevied had been attached, they shall, in case of judgment for a return, be held by the attachment until 60 days after judgment in the action in which they were attached has become final as provided in </w:t>
      </w:r>
      <w:r>
        <w:t>section 4601</w:t>
      </w:r>
      <w:r>
        <w:t xml:space="preserve">. If such final judgment is rendered before the return of the goods or if the goods when replevied had been seized on execution, they shall be held by the same attachment or seizure for 60 days after the return and may be taken and disposed of as if they had not been replevied.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§7309. Continuance of attachment, if goods replevied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§7309. Continuance of attachment, if goods replevied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§7309. CONTINUANCE OF ATTACHMENT, IF GOODS REPLEVIED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