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8803</w:t>
        <w:t xml:space="preserve">.  </w:t>
      </w:r>
      <w:r>
        <w:rPr>
          <w:b/>
        </w:rPr>
        <w:t xml:space="preserve">Applicability</w:t>
      </w:r>
    </w:p>
    <w:p>
      <w:pPr>
        <w:jc w:val="both"/>
        <w:spacing w:before="100" w:after="100"/>
        <w:ind w:start="360"/>
        <w:ind w:firstLine="360"/>
      </w:pPr>
      <w:r>
        <w:rPr>
          <w:b/>
        </w:rPr>
        <w:t>1</w:t>
        <w:t xml:space="preserve">.  </w:t>
      </w:r>
      <w:r>
        <w:rPr>
          <w:b/>
        </w:rPr>
        <w:t xml:space="preserve">Sum of money; enforceable.</w:t>
        <w:t xml:space="preserve"> </w:t>
      </w:r>
      <w:r>
        <w:t xml:space="preserve"> </w:t>
      </w:r>
      <w:r>
        <w:t xml:space="preserve">Except as otherwise provided in </w:t>
      </w:r>
      <w:r>
        <w:t>subsection 2</w:t>
      </w:r>
      <w:r>
        <w:t xml:space="preserve">, this Act applies to a foreign-country judgment to the extent that the judgment:</w:t>
      </w:r>
    </w:p>
    <w:p>
      <w:pPr>
        <w:jc w:val="both"/>
        <w:spacing w:before="100" w:after="0"/>
        <w:ind w:start="720"/>
      </w:pPr>
      <w:r>
        <w:rPr/>
        <w:t>A</w:t>
        <w:t xml:space="preserve">.  </w:t>
      </w:r>
      <w:r>
        <w:rPr/>
      </w:r>
      <w:r>
        <w:t xml:space="preserve">Grants or denies recovery of a sum of money; and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Is final, conclusive and enforceable under the law of the foreign country where it was rendered.</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100"/>
        <w:ind w:start="360"/>
        <w:ind w:firstLine="360"/>
      </w:pPr>
      <w:r>
        <w:rPr>
          <w:b/>
        </w:rPr>
        <w:t>2</w:t>
        <w:t xml:space="preserve">.  </w:t>
      </w:r>
      <w:r>
        <w:rPr>
          <w:b/>
        </w:rPr>
        <w:t xml:space="preserve">Exclusions.</w:t>
        <w:t xml:space="preserve"> </w:t>
      </w:r>
      <w:r>
        <w:t xml:space="preserve"> </w:t>
      </w:r>
      <w:r>
        <w:t xml:space="preserve">This Act does not apply to a foreign-country judgment, even if the judgment grants or denies recovery of a sum of money, to the extent that the judgment is:</w:t>
      </w:r>
    </w:p>
    <w:p>
      <w:pPr>
        <w:jc w:val="both"/>
        <w:spacing w:before="100" w:after="0"/>
        <w:ind w:start="720"/>
      </w:pPr>
      <w:r>
        <w:rPr/>
        <w:t>A</w:t>
        <w:t xml:space="preserve">.  </w:t>
      </w:r>
      <w:r>
        <w:rPr/>
      </w:r>
      <w:r>
        <w:t xml:space="preserve">A judgment for taxes;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B</w:t>
        <w:t xml:space="preserve">.  </w:t>
      </w:r>
      <w:r>
        <w:rPr/>
      </w:r>
      <w:r>
        <w:t xml:space="preserve">A fine or other penalty; or</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w:pPr>
        <w:jc w:val="both"/>
        <w:spacing w:before="100" w:after="0"/>
        <w:ind w:start="720"/>
      </w:pPr>
      <w:r>
        <w:rPr/>
        <w:t>C</w:t>
        <w:t xml:space="preserve">.  </w:t>
      </w:r>
      <w:r>
        <w:rPr/>
      </w:r>
      <w:r>
        <w:t xml:space="preserve">A judgment for divorce, support or maintenance or other judgment rendered in connection with domestic relations.</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w:pPr>
        <w:jc w:val="both"/>
        <w:spacing w:before="100" w:after="0"/>
        <w:ind w:start="360"/>
        <w:ind w:firstLine="360"/>
      </w:pPr>
      <w:r>
        <w:rPr>
          <w:b/>
        </w:rPr>
        <w:t>3</w:t>
        <w:t xml:space="preserve">.  </w:t>
      </w:r>
      <w:r>
        <w:rPr>
          <w:b/>
        </w:rPr>
        <w:t xml:space="preserve">Establish applicability.</w:t>
        <w:t xml:space="preserve"> </w:t>
      </w:r>
      <w:r>
        <w:t xml:space="preserve"> </w:t>
      </w:r>
      <w:r>
        <w:t xml:space="preserve">A party seeking recognition of a foreign-country judgment has the burden of establishing that this Act applies to the foreign-country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