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8905</w:t>
        <w:t xml:space="preserve">.  </w:t>
      </w:r>
      <w:r>
        <w:rPr>
          <w:b/>
        </w:rPr>
        <w:t xml:space="preserve">Effect of registration</w:t>
      </w:r>
    </w:p>
    <w:p>
      <w:pPr>
        <w:jc w:val="both"/>
        <w:spacing w:before="100" w:after="0"/>
        <w:ind w:start="360"/>
        <w:ind w:firstLine="360"/>
      </w:pPr>
      <w:r>
        <w:rPr>
          <w:b/>
        </w:rPr>
        <w:t>1</w:t>
        <w:t xml:space="preserve">.  </w:t>
      </w:r>
      <w:r>
        <w:rPr>
          <w:b/>
        </w:rPr>
        <w:t xml:space="preserve">Effect.</w:t>
        <w:t xml:space="preserve"> </w:t>
      </w:r>
      <w:r>
        <w:t xml:space="preserve"> </w:t>
      </w:r>
      <w:r>
        <w:t xml:space="preserve">Subject to </w:t>
      </w:r>
      <w:r>
        <w:t>subsection 2</w:t>
      </w:r>
      <w:r>
        <w:t xml:space="preserve">, a Canadian judgment registered under </w:t>
      </w:r>
      <w:r>
        <w:t>section 8904</w:t>
      </w:r>
      <w:r>
        <w:t xml:space="preserve"> has the same effect as provided in </w:t>
      </w:r>
      <w:r>
        <w:t>chapter 759</w:t>
      </w:r>
      <w:r>
        <w:t xml:space="preserve"> for a judgment a court determines to be entitled to recognition.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w:pPr>
        <w:jc w:val="both"/>
        <w:spacing w:before="100" w:after="0"/>
        <w:ind w:start="360"/>
        <w:ind w:firstLine="360"/>
      </w:pPr>
      <w:r>
        <w:rPr>
          <w:b/>
        </w:rPr>
        <w:t>2</w:t>
        <w:t xml:space="preserve">.  </w:t>
      </w:r>
      <w:r>
        <w:rPr>
          <w:b/>
        </w:rPr>
        <w:t xml:space="preserve">Enforcement limitations.</w:t>
        <w:t xml:space="preserve"> </w:t>
      </w:r>
      <w:r>
        <w:t xml:space="preserve"> </w:t>
      </w:r>
      <w:r>
        <w:t xml:space="preserve">A Canadian judgment registered under </w:t>
      </w:r>
      <w:r>
        <w:t>section 8904</w:t>
      </w:r>
      <w:r>
        <w:t xml:space="preserve"> may not be enforced by sale or other disposition of property, or by seizure of property or trustee process, until 31 days after notice of registration is served under </w:t>
      </w:r>
      <w:r>
        <w:t>section 8906</w:t>
      </w:r>
      <w:r>
        <w:t xml:space="preserve">. The court for cause may provide for a shorter or longer time.  This subsection does not preclude use of relief available under the law of this State other than this Act to prevent dissipation, disposition or removal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§8905. Effect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§8905. Effect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§8905. EFFECT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