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§8913. Recognition of judgments under prior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§8913. Recognition of judgments under prior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§8913. RECOGNITION OF JUDGMENTS UNDER PRIOR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