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 Prohibition on expenditure of public resources; noncooperation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Prohibition on expenditure of public resources; noncooperation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§9006. PROHIBITION ON EXPENDITURE OF PUBLIC RESOURCES; NONCOOPERATION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