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Disobedience of officer</w:t>
      </w:r>
    </w:p>
    <w:p>
      <w:pPr>
        <w:jc w:val="both"/>
        <w:spacing w:before="100" w:after="100"/>
        <w:ind w:start="360"/>
        <w:ind w:firstLine="360"/>
      </w:pPr>
      <w:r>
        <w:rPr/>
      </w:r>
      <w:r>
        <w:rPr/>
      </w:r>
      <w:r>
        <w:t xml:space="preserve">An officer who delivers to the agent for extradition of the demanding state a person in the officer's custody under the Governor's warrant in disobedience of section 210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§89 (AMD). RR 2023, c. 2, Pt. D,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Disobedience of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Disobedience of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 DISOBEDIENCE OF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