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§3317. Disposition after return to Juvenile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§3317. Disposition after return to Juvenile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§3317. DISPOSITION AFTER RETURN TO JUVENILE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