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§3318-B. Disposition of a juvenile found incompetent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§3318-B. DISPOSITION OF A JUVENILE FOUND INCOMPETENT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