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§5828. Post-seizure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§5828. Post-seizure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§5828. POST-SEIZURE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