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Local entering agency</w:t>
      </w:r>
    </w:p>
    <w:p>
      <w:pPr>
        <w:jc w:val="both"/>
        <w:spacing w:before="100" w:after="0"/>
        <w:ind w:start="360"/>
        <w:ind w:firstLine="360"/>
      </w:pPr>
      <w:r>
        <w:rPr>
          <w:b/>
        </w:rPr>
        <w:t>1</w:t>
        <w:t xml:space="preserve">.  </w:t>
      </w:r>
      <w:r>
        <w:rPr>
          <w:b/>
        </w:rPr>
        <w:t xml:space="preserve">Authority.</w:t>
        <w:t xml:space="preserve"> </w:t>
      </w:r>
      <w:r>
        <w:t xml:space="preserve"> </w:t>
      </w:r>
      <w:r>
        <w:t xml:space="preserve">The district attorney for each prosecutorial district, with the approval of the Chief Judge of the District Court, shall designate one or more local entering agencies for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Standards.</w:t>
        <w:t xml:space="preserve"> </w:t>
      </w:r>
      <w:r>
        <w:t xml:space="preserve"> </w:t>
      </w:r>
      <w:r>
        <w:t xml:space="preserve">Each local entering agency must have the capability and willingness to accept the burden and responsibility of warrant management as a full and equal element of its sworn public duty and must meet standards established by the Maine telecommunications and routing operations system and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§655. Local entering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Local entering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§655. LOCAL ENTERING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