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Mentally ill party</w:t>
      </w:r>
    </w:p>
    <w:p>
      <w:pPr>
        <w:jc w:val="both"/>
        <w:spacing w:before="100" w:after="100"/>
        <w:ind w:start="360"/>
        <w:ind w:firstLine="360"/>
      </w:pPr>
      <w:r>
        <w:rPr/>
      </w:r>
      <w:r>
        <w:rPr/>
      </w:r>
      <w:r>
        <w:t xml:space="preserve">The rules of evidence which apply to actions by or against executors or administrators apply in actions where a person shown to the court to be mentally ill is solely interested as a party.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 Mentally ill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Mentally ill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§52. MENTALLY ILL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