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THEFT</w:t>
      </w:r>
    </w:p>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jc w:val="both"/>
        <w:spacing w:before="100" w:after="100"/>
        <w:ind w:start="1080" w:hanging="720"/>
      </w:pPr>
      <w:r>
        <w:rPr>
          <w:b/>
        </w:rPr>
        <w:t>§</w:t>
        <w:t>357</w:t>
        <w:t xml:space="preserve">.  </w:t>
      </w:r>
      <w:r>
        <w:rPr>
          <w:b/>
        </w:rPr>
        <w:t xml:space="preserve">Theft of services</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services by deception, threat, force or any other means designed to avoid the due payment for the services that the person knows are available only for compensation.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§14 (AMD).]</w:t>
      </w:r>
    </w:p>
    <w:p>
      <w:pPr>
        <w:jc w:val="both"/>
        <w:spacing w:before="100" w:after="100"/>
        <w:ind w:start="360"/>
        <w:ind w:firstLine="360"/>
      </w:pPr>
      <w:r>
        <w:rPr>
          <w:b/>
        </w:rPr>
        <w:t>2</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Having control over the disposition of services of another, to which the person knows the person is not entitled, the person diverts such services to the person's own benefit or to the benefit of some other person who the person knows is not entitled to the services.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services is more than $10,000.  Violation of this subparagraph is a Class B crime;</w:t>
      </w:r>
    </w:p>
    <w:p>
      <w:pPr>
        <w:jc w:val="both"/>
        <w:spacing w:before="100" w:after="0"/>
        <w:ind w:start="1080"/>
      </w:pPr>
      <w:r>
        <w:rPr/>
        <w:t>(</w:t>
        <w:t>2</w:t>
        <w:t xml:space="preserve">)  </w:t>
      </w:r>
      <w:r>
        <w:rPr/>
      </w:r>
      <w:r>
        <w:t xml:space="preserve">That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services is more than $1,000 but not more than $10,000.  Violation of this subparagraph is a Class C crime;</w:t>
      </w:r>
    </w:p>
    <w:p>
      <w:pPr>
        <w:jc w:val="both"/>
        <w:spacing w:before="100" w:after="0"/>
        <w:ind w:start="1080"/>
      </w:pPr>
      <w:r>
        <w:rPr/>
        <w:t>(</w:t>
        <w:t>4</w:t>
        <w:t xml:space="preserve">)  </w:t>
      </w:r>
      <w:r>
        <w:rPr/>
      </w:r>
      <w:r>
        <w:t xml:space="preserve">The value of the services is more than $500 but not more than $1,000.  Violation of this subparagraph is a Class D crime; or</w:t>
      </w:r>
    </w:p>
    <w:p>
      <w:pPr>
        <w:jc w:val="both"/>
        <w:spacing w:before="100" w:after="0"/>
        <w:ind w:start="1080"/>
      </w:pPr>
      <w:r>
        <w:rPr/>
        <w:t>(</w:t>
        <w:t>5</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§15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"Deception" has the same meaning as in </w:t>
      </w:r>
      <w:r>
        <w:t>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B</w:t>
        <w:t xml:space="preserve">.  </w:t>
      </w:r>
      <w:r>
        <w:rPr/>
      </w:r>
      <w:r>
        <w:t xml:space="preserve">"Services" includes, but is not limited to, labor; professional service; public utility service; transportation service; ski-lift service; restaurant, hotel, motel, tourist cabin, rooming house and like accommodations; the supplying of equipment, tools, vehicles or trailers for temporary use; telephone, cellular telephone, telegraph, cable television or computer service; gas, electricity, water or steam; admission to entertainment, exhibitions, sporting events or other events; or other services for which a charge is made; and</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w:pPr>
        <w:jc w:val="both"/>
        <w:spacing w:before="100" w:after="0"/>
        <w:ind w:start="720"/>
      </w:pPr>
      <w:r>
        <w:rPr/>
        <w:t>C</w:t>
        <w:t xml:space="preserve">.  </w:t>
      </w:r>
      <w:r>
        <w:rPr/>
      </w:r>
      <w:r>
        <w:t xml:space="preserve">"Threat" is deemed to occur under the circumstances described in </w:t>
      </w:r>
      <w:r>
        <w:t>section 355,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§42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0"/>
        <w:ind w:start="360"/>
        <w:ind w:firstLine="360"/>
      </w:pPr>
      <w:r>
        <w:rPr>
          <w:b/>
        </w:rPr>
        <w:t>4</w:t>
        <w:t xml:space="preserve">.  </w:t>
      </w:r>
      <w:r>
        <w:rPr>
          <w:b/>
        </w:rPr>
      </w:r>
      <w:r>
        <w:t xml:space="preserve"> </w:t>
      </w:r>
      <w:r>
        <w:t xml:space="preserve">When compensation for service is ordinarily paid immediately upon the rendering of such service, as in the case of hotels, restaurants, ski lifts, garages or sporting events, nonpayment prior to use or enjoyment, refusal to pay or absconding without payment or offer to pay gives rise to a permissible inference under the Maine Rules of Evidence, Rule 303 that the service was obtained by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w:pPr>
        <w:jc w:val="both"/>
        <w:spacing w:before="100" w:after="100"/>
        <w:ind w:start="360"/>
        <w:ind w:firstLine="360"/>
      </w:pPr>
      <w:r>
        <w:rPr>
          <w:b/>
        </w:rPr>
        <w:t>5</w:t>
        <w:t xml:space="preserve">.  </w:t>
      </w:r>
      <w:r>
        <w:rPr>
          <w:b/>
        </w:rPr>
      </w:r>
      <w:r>
        <w:t xml:space="preserve"> </w:t>
      </w:r>
      <w:r>
        <w:t xml:space="preserve">Proof that utility services or electricity services have been improperly diverted or that devices belonging to the utility or electricity service provider and installed for the delivery, regulation or measurement of utility services or electricity services have been interfered with gives rise to a permissible inference under the Maine Rules of Evidence, Rule 303 that the person to whom the utility service or electricity service is being delivered or diverted knowingly created or caused to be created the improper diversion or interference with the devices of the utility or electricity service provider.</w:t>
      </w:r>
    </w:p>
    <w:p>
      <w:pPr>
        <w:jc w:val="both"/>
        <w:spacing w:before="100" w:after="0"/>
        <w:ind w:start="360"/>
      </w:pPr>
      <w:r>
        <w:rPr/>
      </w:r>
      <w:r>
        <w:rPr/>
      </w:r>
      <w:r>
        <w:t xml:space="preserve">This inference does not apply unless the person to whom the utility service or electricity service is being delivered has been furnished the service for at least 30 days.</w:t>
      </w:r>
    </w:p>
    <w:p>
      <w:pPr>
        <w:jc w:val="both"/>
        <w:spacing w:before="100" w:after="0"/>
        <w:ind w:start="360"/>
      </w:pPr>
      <w:r>
        <w:rPr/>
      </w:r>
      <w:r>
        <w:rPr/>
      </w:r>
      <w:r>
        <w:t xml:space="preserve">For purposes of this subsection, "electricity service" means electric billing and metering services, as defined in </w:t>
      </w:r>
      <w:r>
        <w:t>Title 35‑A, section 3201, subsection 8</w:t>
      </w:r>
      <w:r>
        <w:t xml:space="preserve">, and the service of a competitive electricity provider, as defined in </w:t>
      </w:r>
      <w:r>
        <w:t>Title 35‑A, 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§42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183, §§1,2 (AMD). PL 1989, c. 138 (AMD). PL 1993, c. 106, §1 (AMD). PL 1995, c. 107, §1 (AMD). PL 1999, c. 657, §8 (AMD). PL 2001, c. 383, §42 (RPR). PL 2001, c. 383, §156 (AFF). PL 2001, c. 667, §§D7,8 (AMD). PL 2001, c. 667, §D36 (AFF). PL 2007, c. 476, §§14, 15 (AMD). </w:t>
      </w:r>
    </w:p>
    <w:p>
      <w:pPr>
        <w:jc w:val="both"/>
        <w:spacing w:before="100" w:after="100"/>
        <w:ind w:start="1080" w:hanging="720"/>
      </w:pPr>
      <w:r>
        <w:rPr>
          <w:b/>
        </w:rPr>
        <w:t>§</w:t>
        <w:t>357-A</w:t>
        <w:t xml:space="preserve">.  </w:t>
      </w:r>
      <w:r>
        <w:rPr>
          <w:b/>
        </w:rPr>
        <w:t xml:space="preserve">Theft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§1 (NEW). PL 1993, c. 106, §2 (RP). </w:t>
      </w:r>
    </w:p>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15.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