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VICTIMS' RIGHTS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75.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